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8D8D8" w:themeColor="background1" w:themeShade="D8">
    <v:background id="_x0000_s1025" o:bwmode="white" fillcolor="#d8d8d8 [2732]" o:targetscreensize="1024,768">
      <v:fill color2="#bdd6ee [1300]" focus="-50%" type="gradient"/>
    </v:background>
  </w:background>
  <w:body>
    <w:p w:rsidR="00D67289" w:rsidRDefault="00D67289">
      <w:bookmarkStart w:id="0" w:name="_GoBack"/>
      <w:bookmarkEnd w:id="0"/>
    </w:p>
    <w:p w:rsidR="00D8356E" w:rsidRDefault="00C854B3" w:rsidP="00C854B3">
      <w:pPr>
        <w:jc w:val="center"/>
      </w:pPr>
      <w:r>
        <w:rPr>
          <w:noProof/>
        </w:rPr>
        <w:drawing>
          <wp:inline distT="0" distB="0" distL="0" distR="0" wp14:anchorId="213E9350" wp14:editId="144C67F5">
            <wp:extent cx="6391277" cy="4743451"/>
            <wp:effectExtent l="0" t="0" r="952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854B3" w:rsidRDefault="00C854B3" w:rsidP="00C854B3">
      <w:pPr>
        <w:jc w:val="center"/>
        <w:rPr>
          <w:i/>
          <w:sz w:val="20"/>
          <w:szCs w:val="20"/>
        </w:rPr>
      </w:pPr>
      <w:r w:rsidRPr="00C854B3">
        <w:rPr>
          <w:i/>
          <w:sz w:val="20"/>
          <w:szCs w:val="20"/>
        </w:rPr>
        <w:t>Source: Portland State University, Oregon Population Forecast Program</w:t>
      </w:r>
    </w:p>
    <w:p w:rsidR="00683C2A" w:rsidRPr="00C854B3" w:rsidRDefault="00683C2A" w:rsidP="00C854B3">
      <w:pPr>
        <w:jc w:val="center"/>
        <w:rPr>
          <w:i/>
          <w:sz w:val="20"/>
          <w:szCs w:val="20"/>
        </w:rPr>
      </w:pPr>
    </w:p>
    <w:sectPr w:rsidR="00683C2A" w:rsidRPr="00C854B3" w:rsidSect="00451238">
      <w:pgSz w:w="15840" w:h="12240" w:orient="landscape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C2A" w:rsidRDefault="00683C2A" w:rsidP="00683C2A">
      <w:pPr>
        <w:spacing w:after="0" w:line="240" w:lineRule="auto"/>
      </w:pPr>
      <w:r>
        <w:separator/>
      </w:r>
    </w:p>
  </w:endnote>
  <w:endnote w:type="continuationSeparator" w:id="0">
    <w:p w:rsidR="00683C2A" w:rsidRDefault="00683C2A" w:rsidP="00683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C2A" w:rsidRDefault="00683C2A" w:rsidP="00683C2A">
      <w:pPr>
        <w:spacing w:after="0" w:line="240" w:lineRule="auto"/>
      </w:pPr>
      <w:r>
        <w:separator/>
      </w:r>
    </w:p>
  </w:footnote>
  <w:footnote w:type="continuationSeparator" w:id="0">
    <w:p w:rsidR="00683C2A" w:rsidRDefault="00683C2A" w:rsidP="00683C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56E"/>
    <w:rsid w:val="00451238"/>
    <w:rsid w:val="00456F14"/>
    <w:rsid w:val="00683C2A"/>
    <w:rsid w:val="00704C7F"/>
    <w:rsid w:val="00A322B2"/>
    <w:rsid w:val="00B47A83"/>
    <w:rsid w:val="00C10CBA"/>
    <w:rsid w:val="00C854B3"/>
    <w:rsid w:val="00CD2D64"/>
    <w:rsid w:val="00D67289"/>
    <w:rsid w:val="00D722CB"/>
    <w:rsid w:val="00D8356E"/>
    <w:rsid w:val="00E878DF"/>
    <w:rsid w:val="00F8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C199A-7321-406B-B893-A6047B23D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78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3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2A"/>
  </w:style>
  <w:style w:type="paragraph" w:styleId="Footer">
    <w:name w:val="footer"/>
    <w:basedOn w:val="Normal"/>
    <w:link w:val="FooterChar"/>
    <w:uiPriority w:val="99"/>
    <w:unhideWhenUsed/>
    <w:rsid w:val="00683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ln cmpd="sng">
                  <a:solidFill>
                    <a:schemeClr val="accent1"/>
                  </a:solidFill>
                </a:ln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>
                <a:solidFill>
                  <a:sysClr val="windowText" lastClr="000000"/>
                </a:solidFill>
              </a:rPr>
              <a:t>Projected Population, by Age Group</a:t>
            </a:r>
          </a:p>
          <a:p>
            <a:pPr>
              <a:defRPr>
                <a:solidFill>
                  <a:sysClr val="windowText" lastClr="000000"/>
                </a:solidFill>
              </a:defRPr>
            </a:pPr>
            <a:r>
              <a:rPr lang="en-US">
                <a:solidFill>
                  <a:sysClr val="windowText" lastClr="000000"/>
                </a:solidFill>
              </a:rPr>
              <a:t>2017 - 2040</a:t>
            </a:r>
          </a:p>
        </c:rich>
      </c:tx>
      <c:layout>
        <c:manualLayout>
          <c:xMode val="edge"/>
          <c:yMode val="edge"/>
          <c:x val="0.27190262603232501"/>
          <c:y val="0.1552877852011120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ln cmpd="sng">
                <a:solidFill>
                  <a:schemeClr val="accent1"/>
                </a:solidFill>
              </a:ln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Sheet1!$A$58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0070C0"/>
            </a:solidFill>
            <a:ln>
              <a:solidFill>
                <a:schemeClr val="accent1">
                  <a:lumMod val="50000"/>
                </a:schemeClr>
              </a:solidFill>
            </a:ln>
            <a:effectLst/>
          </c:spPr>
          <c:invertIfNegative val="0"/>
          <c:cat>
            <c:strRef>
              <c:f>Sheet1!$B$57:$L$57</c:f>
              <c:strCache>
                <c:ptCount val="11"/>
                <c:pt idx="0">
                  <c:v>Age 45-59</c:v>
                </c:pt>
                <c:pt idx="1">
                  <c:v>Age 60-74</c:v>
                </c:pt>
                <c:pt idx="2">
                  <c:v>Age 75+</c:v>
                </c:pt>
                <c:pt idx="4">
                  <c:v>Age 45-59</c:v>
                </c:pt>
                <c:pt idx="5">
                  <c:v>Age 60-74</c:v>
                </c:pt>
                <c:pt idx="6">
                  <c:v>Age 75+</c:v>
                </c:pt>
                <c:pt idx="8">
                  <c:v>Age 45-59</c:v>
                </c:pt>
                <c:pt idx="9">
                  <c:v>Age 60-74</c:v>
                </c:pt>
                <c:pt idx="10">
                  <c:v>Age 75+</c:v>
                </c:pt>
              </c:strCache>
            </c:strRef>
          </c:cat>
          <c:val>
            <c:numRef>
              <c:f>Sheet1!$B$58:$L$58</c:f>
              <c:numCache>
                <c:formatCode>#,##0</c:formatCode>
                <c:ptCount val="11"/>
                <c:pt idx="0">
                  <c:v>15240</c:v>
                </c:pt>
                <c:pt idx="1">
                  <c:v>14000</c:v>
                </c:pt>
                <c:pt idx="2">
                  <c:v>6105</c:v>
                </c:pt>
                <c:pt idx="4">
                  <c:v>9787</c:v>
                </c:pt>
                <c:pt idx="5">
                  <c:v>12697</c:v>
                </c:pt>
                <c:pt idx="6">
                  <c:v>4989</c:v>
                </c:pt>
                <c:pt idx="8">
                  <c:v>23647</c:v>
                </c:pt>
                <c:pt idx="9">
                  <c:v>21259</c:v>
                </c:pt>
                <c:pt idx="10">
                  <c:v>9619</c:v>
                </c:pt>
              </c:numCache>
            </c:numRef>
          </c:val>
        </c:ser>
        <c:ser>
          <c:idx val="1"/>
          <c:order val="1"/>
          <c:tx>
            <c:strRef>
              <c:f>Sheet1!$A$59</c:f>
              <c:strCache>
                <c:ptCount val="1"/>
                <c:pt idx="0">
                  <c:v>2040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2"/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2"/>
            <c:invertIfNegative val="0"/>
            <c:bubble3D val="0"/>
            <c:spPr>
              <a:solidFill>
                <a:schemeClr val="accent2"/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4"/>
            <c:invertIfNegative val="0"/>
            <c:bubble3D val="0"/>
            <c:spPr>
              <a:solidFill>
                <a:schemeClr val="accent2"/>
              </a:solidFill>
              <a:ln>
                <a:solidFill>
                  <a:schemeClr val="accent1">
                    <a:lumMod val="50000"/>
                  </a:schemeClr>
                </a:solidFill>
              </a:ln>
              <a:effectLst/>
            </c:spPr>
          </c:dPt>
          <c:dPt>
            <c:idx val="5"/>
            <c:invertIfNegative val="0"/>
            <c:bubble3D val="0"/>
            <c:spPr>
              <a:solidFill>
                <a:schemeClr val="accent2"/>
              </a:solidFill>
              <a:ln>
                <a:solidFill>
                  <a:schemeClr val="accent1">
                    <a:lumMod val="50000"/>
                  </a:schemeClr>
                </a:solidFill>
              </a:ln>
              <a:effectLst/>
            </c:spPr>
          </c:dPt>
          <c:dPt>
            <c:idx val="6"/>
            <c:invertIfNegative val="0"/>
            <c:bubble3D val="0"/>
            <c:spPr>
              <a:solidFill>
                <a:schemeClr val="accent2"/>
              </a:solidFill>
              <a:ln>
                <a:solidFill>
                  <a:schemeClr val="accent1">
                    <a:lumMod val="50000"/>
                  </a:schemeClr>
                </a:solidFill>
              </a:ln>
              <a:effectLst/>
            </c:spPr>
          </c:dPt>
          <c:dPt>
            <c:idx val="8"/>
            <c:invertIfNegative val="0"/>
            <c:bubble3D val="0"/>
            <c:spPr>
              <a:solidFill>
                <a:schemeClr val="accent2"/>
              </a:solidFill>
              <a:ln>
                <a:solidFill>
                  <a:schemeClr val="accent2">
                    <a:lumMod val="50000"/>
                  </a:schemeClr>
                </a:solidFill>
              </a:ln>
              <a:effectLst/>
            </c:spPr>
          </c:dPt>
          <c:dPt>
            <c:idx val="9"/>
            <c:invertIfNegative val="0"/>
            <c:bubble3D val="0"/>
            <c:spPr>
              <a:solidFill>
                <a:schemeClr val="accent2"/>
              </a:solidFill>
              <a:ln>
                <a:solidFill>
                  <a:schemeClr val="accent2">
                    <a:lumMod val="50000"/>
                  </a:schemeClr>
                </a:solidFill>
              </a:ln>
              <a:effectLst/>
            </c:spPr>
          </c:dPt>
          <c:dPt>
            <c:idx val="10"/>
            <c:invertIfNegative val="0"/>
            <c:bubble3D val="0"/>
            <c:spPr>
              <a:solidFill>
                <a:schemeClr val="accent2"/>
              </a:solidFill>
              <a:ln>
                <a:solidFill>
                  <a:schemeClr val="accent2">
                    <a:lumMod val="50000"/>
                  </a:schemeClr>
                </a:solidFill>
              </a:ln>
              <a:effectLst/>
            </c:spPr>
          </c:dPt>
          <c:cat>
            <c:strRef>
              <c:f>Sheet1!$B$57:$L$57</c:f>
              <c:strCache>
                <c:ptCount val="11"/>
                <c:pt idx="0">
                  <c:v>Age 45-59</c:v>
                </c:pt>
                <c:pt idx="1">
                  <c:v>Age 60-74</c:v>
                </c:pt>
                <c:pt idx="2">
                  <c:v>Age 75+</c:v>
                </c:pt>
                <c:pt idx="4">
                  <c:v>Age 45-59</c:v>
                </c:pt>
                <c:pt idx="5">
                  <c:v>Age 60-74</c:v>
                </c:pt>
                <c:pt idx="6">
                  <c:v>Age 75+</c:v>
                </c:pt>
                <c:pt idx="8">
                  <c:v>Age 45-59</c:v>
                </c:pt>
                <c:pt idx="9">
                  <c:v>Age 60-74</c:v>
                </c:pt>
                <c:pt idx="10">
                  <c:v>Age 75+</c:v>
                </c:pt>
              </c:strCache>
            </c:strRef>
          </c:cat>
          <c:val>
            <c:numRef>
              <c:f>Sheet1!$B$59:$L$59</c:f>
              <c:numCache>
                <c:formatCode>#,##0</c:formatCode>
                <c:ptCount val="11"/>
                <c:pt idx="0">
                  <c:v>20343</c:v>
                </c:pt>
                <c:pt idx="1">
                  <c:v>14870</c:v>
                </c:pt>
                <c:pt idx="2">
                  <c:v>13621</c:v>
                </c:pt>
                <c:pt idx="4">
                  <c:v>10511</c:v>
                </c:pt>
                <c:pt idx="5">
                  <c:v>11071</c:v>
                </c:pt>
                <c:pt idx="6">
                  <c:v>9326</c:v>
                </c:pt>
                <c:pt idx="8">
                  <c:v>28938</c:v>
                </c:pt>
                <c:pt idx="9">
                  <c:v>23756</c:v>
                </c:pt>
                <c:pt idx="10">
                  <c:v>18614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5"/>
        <c:axId val="713127800"/>
        <c:axId val="713124272"/>
      </c:barChart>
      <c:catAx>
        <c:axId val="713127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 cmpd="sng">
                  <a:solidFill>
                    <a:schemeClr val="accent1"/>
                  </a:solidFill>
                </a:ln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13124272"/>
        <c:crosses val="autoZero"/>
        <c:auto val="1"/>
        <c:lblAlgn val="ctr"/>
        <c:lblOffset val="100"/>
        <c:noMultiLvlLbl val="0"/>
      </c:catAx>
      <c:valAx>
        <c:axId val="713124272"/>
        <c:scaling>
          <c:orientation val="minMax"/>
          <c:max val="3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 cmpd="sng">
                  <a:solidFill>
                    <a:schemeClr val="accent1"/>
                  </a:solidFill>
                </a:ln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131278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19050" cap="flat" cmpd="sng" algn="ctr">
      <a:solidFill>
        <a:schemeClr val="accent1"/>
      </a:solidFill>
      <a:round/>
    </a:ln>
    <a:effectLst/>
  </c:spPr>
  <c:txPr>
    <a:bodyPr/>
    <a:lstStyle/>
    <a:p>
      <a:pPr>
        <a:defRPr>
          <a:ln cmpd="sng">
            <a:solidFill>
              <a:schemeClr val="accent1"/>
            </a:solidFill>
          </a:ln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0.10764</cdr:x>
      <cdr:y>0.31912</cdr:y>
    </cdr:from>
    <cdr:to>
      <cdr:x>0.26758</cdr:x>
      <cdr:y>0.38281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687964" y="1513717"/>
          <a:ext cx="1022223" cy="30213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200" b="1">
              <a:solidFill>
                <a:schemeClr val="bg1">
                  <a:lumMod val="65000"/>
                </a:schemeClr>
              </a:solidFill>
            </a:rPr>
            <a:t>Benton County</a:t>
          </a:r>
        </a:p>
      </cdr:txBody>
    </cdr:sp>
  </cdr:relSizeAnchor>
  <cdr:relSizeAnchor xmlns:cdr="http://schemas.openxmlformats.org/drawingml/2006/chartDrawing">
    <cdr:from>
      <cdr:x>0.77806</cdr:x>
      <cdr:y>0.07815</cdr:y>
    </cdr:from>
    <cdr:to>
      <cdr:x>0.92156</cdr:x>
      <cdr:y>0.13336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4972767" y="370699"/>
          <a:ext cx="917148" cy="26188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200" b="1" i="0" baseline="0">
              <a:solidFill>
                <a:schemeClr val="bg1">
                  <a:lumMod val="65000"/>
                </a:schemeClr>
              </a:solidFill>
            </a:rPr>
            <a:t>Linn County</a:t>
          </a:r>
        </a:p>
      </cdr:txBody>
    </cdr:sp>
  </cdr:relSizeAnchor>
  <cdr:relSizeAnchor xmlns:cdr="http://schemas.openxmlformats.org/drawingml/2006/chartDrawing">
    <cdr:from>
      <cdr:x>0.43423</cdr:x>
      <cdr:y>0.5227</cdr:y>
    </cdr:from>
    <cdr:to>
      <cdr:x>0.61509</cdr:x>
      <cdr:y>0.59489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2775271" y="2479414"/>
          <a:ext cx="1155971" cy="34241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200" b="1">
              <a:solidFill>
                <a:schemeClr val="bg1">
                  <a:lumMod val="65000"/>
                </a:schemeClr>
              </a:solidFill>
            </a:rPr>
            <a:t>Lincoln</a:t>
          </a:r>
          <a:r>
            <a:rPr lang="en-US" sz="1200" b="1" baseline="0">
              <a:solidFill>
                <a:schemeClr val="bg1">
                  <a:lumMod val="65000"/>
                </a:schemeClr>
              </a:solidFill>
            </a:rPr>
            <a:t> County</a:t>
          </a:r>
          <a:endParaRPr lang="en-US" sz="1200" b="1">
            <a:solidFill>
              <a:schemeClr val="bg1">
                <a:lumMod val="65000"/>
              </a:schemeClr>
            </a:solidFill>
          </a:endParaRPr>
        </a:p>
      </cdr:txBody>
    </cdr:sp>
  </cdr:relSizeAnchor>
  <cdr:relSizeAnchor xmlns:cdr="http://schemas.openxmlformats.org/drawingml/2006/chartDrawing">
    <cdr:from>
      <cdr:x>0.08595</cdr:x>
      <cdr:y>0.6606</cdr:y>
    </cdr:from>
    <cdr:to>
      <cdr:x>0.12929</cdr:x>
      <cdr:y>0.77419</cdr:y>
    </cdr:to>
    <cdr:sp macro="" textlink="">
      <cdr:nvSpPr>
        <cdr:cNvPr id="5" name="TextBox 4"/>
        <cdr:cNvSpPr txBox="1"/>
      </cdr:nvSpPr>
      <cdr:spPr>
        <a:xfrm xmlns:a="http://schemas.openxmlformats.org/drawingml/2006/main" rot="16200000">
          <a:off x="418431" y="3264418"/>
          <a:ext cx="538800" cy="2770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000" i="0" baseline="0">
              <a:solidFill>
                <a:schemeClr val="bg1"/>
              </a:solidFill>
            </a:rPr>
            <a:t>2017</a:t>
          </a:r>
        </a:p>
      </cdr:txBody>
    </cdr:sp>
  </cdr:relSizeAnchor>
  <cdr:relSizeAnchor xmlns:cdr="http://schemas.openxmlformats.org/drawingml/2006/chartDrawing">
    <cdr:from>
      <cdr:x>0.11585</cdr:x>
      <cdr:y>0.59016</cdr:y>
    </cdr:from>
    <cdr:to>
      <cdr:x>0.14649</cdr:x>
      <cdr:y>0.70375</cdr:y>
    </cdr:to>
    <cdr:sp macro="" textlink="">
      <cdr:nvSpPr>
        <cdr:cNvPr id="6" name="TextBox 1"/>
        <cdr:cNvSpPr txBox="1"/>
      </cdr:nvSpPr>
      <cdr:spPr>
        <a:xfrm xmlns:a="http://schemas.openxmlformats.org/drawingml/2006/main" rot="16200000">
          <a:off x="568954" y="2970877"/>
          <a:ext cx="538800" cy="19584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000" i="0" baseline="0">
              <a:solidFill>
                <a:sysClr val="windowText" lastClr="000000"/>
              </a:solidFill>
            </a:rPr>
            <a:t>2040</a:t>
          </a:r>
        </a:p>
      </cdr:txBody>
    </cdr:sp>
  </cdr:relSizeAnchor>
  <cdr:relSizeAnchor xmlns:cdr="http://schemas.openxmlformats.org/drawingml/2006/chartDrawing">
    <cdr:from>
      <cdr:x>0.16516</cdr:x>
      <cdr:y>0.7006</cdr:y>
    </cdr:from>
    <cdr:to>
      <cdr:x>0.20179</cdr:x>
      <cdr:y>0.79932</cdr:y>
    </cdr:to>
    <cdr:sp macro="" textlink="">
      <cdr:nvSpPr>
        <cdr:cNvPr id="7" name="TextBox 6"/>
        <cdr:cNvSpPr txBox="1"/>
      </cdr:nvSpPr>
      <cdr:spPr>
        <a:xfrm xmlns:a="http://schemas.openxmlformats.org/drawingml/2006/main" rot="16200000">
          <a:off x="938482" y="3440376"/>
          <a:ext cx="468303" cy="23406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>
              <a:solidFill>
                <a:schemeClr val="bg1"/>
              </a:solidFill>
            </a:rPr>
            <a:t>2017</a:t>
          </a:r>
        </a:p>
      </cdr:txBody>
    </cdr:sp>
  </cdr:relSizeAnchor>
  <cdr:relSizeAnchor xmlns:cdr="http://schemas.openxmlformats.org/drawingml/2006/chartDrawing">
    <cdr:from>
      <cdr:x>0.19805</cdr:x>
      <cdr:y>0.67937</cdr:y>
    </cdr:from>
    <cdr:to>
      <cdr:x>0.23542</cdr:x>
      <cdr:y>0.78765</cdr:y>
    </cdr:to>
    <cdr:sp macro="" textlink="">
      <cdr:nvSpPr>
        <cdr:cNvPr id="8" name="TextBox 7"/>
        <cdr:cNvSpPr txBox="1"/>
      </cdr:nvSpPr>
      <cdr:spPr>
        <a:xfrm xmlns:a="http://schemas.openxmlformats.org/drawingml/2006/main" rot="16200000">
          <a:off x="1128418" y="3359937"/>
          <a:ext cx="513622" cy="23883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2040</a:t>
          </a:r>
        </a:p>
      </cdr:txBody>
    </cdr:sp>
  </cdr:relSizeAnchor>
  <cdr:relSizeAnchor xmlns:cdr="http://schemas.openxmlformats.org/drawingml/2006/chartDrawing">
    <cdr:from>
      <cdr:x>0.24664</cdr:x>
      <cdr:y>0.80535</cdr:y>
    </cdr:from>
    <cdr:to>
      <cdr:x>0.2855</cdr:x>
      <cdr:y>0.90089</cdr:y>
    </cdr:to>
    <cdr:sp macro="" textlink="">
      <cdr:nvSpPr>
        <cdr:cNvPr id="9" name="TextBox 8"/>
        <cdr:cNvSpPr txBox="1"/>
      </cdr:nvSpPr>
      <cdr:spPr>
        <a:xfrm xmlns:a="http://schemas.openxmlformats.org/drawingml/2006/main" rot="16200000">
          <a:off x="1473924" y="3922536"/>
          <a:ext cx="453196" cy="24839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>
              <a:solidFill>
                <a:schemeClr val="bg1"/>
              </a:solidFill>
            </a:rPr>
            <a:t>2017</a:t>
          </a:r>
        </a:p>
      </cdr:txBody>
    </cdr:sp>
  </cdr:relSizeAnchor>
  <cdr:relSizeAnchor xmlns:cdr="http://schemas.openxmlformats.org/drawingml/2006/chartDrawing">
    <cdr:from>
      <cdr:x>0.27915</cdr:x>
      <cdr:y>0.67858</cdr:y>
    </cdr:from>
    <cdr:to>
      <cdr:x>0.31951</cdr:x>
      <cdr:y>0.79217</cdr:y>
    </cdr:to>
    <cdr:sp macro="" textlink="">
      <cdr:nvSpPr>
        <cdr:cNvPr id="10" name="TextBox 9"/>
        <cdr:cNvSpPr txBox="1"/>
      </cdr:nvSpPr>
      <cdr:spPr>
        <a:xfrm xmlns:a="http://schemas.openxmlformats.org/drawingml/2006/main" rot="16200000">
          <a:off x="1643716" y="3359243"/>
          <a:ext cx="538799" cy="2579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2040</a:t>
          </a:r>
        </a:p>
      </cdr:txBody>
    </cdr:sp>
  </cdr:relSizeAnchor>
  <cdr:relSizeAnchor xmlns:cdr="http://schemas.openxmlformats.org/drawingml/2006/chartDrawing">
    <cdr:from>
      <cdr:x>0.40771</cdr:x>
      <cdr:y>0.74158</cdr:y>
    </cdr:from>
    <cdr:to>
      <cdr:x>0.45106</cdr:x>
      <cdr:y>0.84668</cdr:y>
    </cdr:to>
    <cdr:sp macro="" textlink="">
      <cdr:nvSpPr>
        <cdr:cNvPr id="11" name="TextBox 10"/>
        <cdr:cNvSpPr txBox="1"/>
      </cdr:nvSpPr>
      <cdr:spPr>
        <a:xfrm xmlns:a="http://schemas.openxmlformats.org/drawingml/2006/main" rot="16200000">
          <a:off x="2495037" y="3628400"/>
          <a:ext cx="498515" cy="2770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>
              <a:solidFill>
                <a:schemeClr val="bg1"/>
              </a:solidFill>
            </a:rPr>
            <a:t>2017</a:t>
          </a:r>
        </a:p>
      </cdr:txBody>
    </cdr:sp>
  </cdr:relSizeAnchor>
  <cdr:relSizeAnchor xmlns:cdr="http://schemas.openxmlformats.org/drawingml/2006/chartDrawing">
    <cdr:from>
      <cdr:x>0.44246</cdr:x>
      <cdr:y>0.73787</cdr:y>
    </cdr:from>
    <cdr:to>
      <cdr:x>0.48506</cdr:x>
      <cdr:y>0.83766</cdr:y>
    </cdr:to>
    <cdr:sp macro="" textlink="">
      <cdr:nvSpPr>
        <cdr:cNvPr id="12" name="TextBox 11"/>
        <cdr:cNvSpPr txBox="1"/>
      </cdr:nvSpPr>
      <cdr:spPr>
        <a:xfrm xmlns:a="http://schemas.openxmlformats.org/drawingml/2006/main" rot="16200000">
          <a:off x="2727329" y="3600577"/>
          <a:ext cx="473338" cy="2722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2040</a:t>
          </a:r>
        </a:p>
      </cdr:txBody>
    </cdr:sp>
  </cdr:relSizeAnchor>
  <cdr:relSizeAnchor xmlns:cdr="http://schemas.openxmlformats.org/drawingml/2006/chartDrawing">
    <cdr:from>
      <cdr:x>0.48991</cdr:x>
      <cdr:y>0.71668</cdr:y>
    </cdr:from>
    <cdr:to>
      <cdr:x>0.53102</cdr:x>
      <cdr:y>0.81435</cdr:y>
    </cdr:to>
    <cdr:sp macro="" textlink="">
      <cdr:nvSpPr>
        <cdr:cNvPr id="13" name="TextBox 12"/>
        <cdr:cNvSpPr txBox="1"/>
      </cdr:nvSpPr>
      <cdr:spPr>
        <a:xfrm xmlns:a="http://schemas.openxmlformats.org/drawingml/2006/main" rot="16200000">
          <a:off x="3030909" y="3499820"/>
          <a:ext cx="463267" cy="26272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>
              <a:solidFill>
                <a:schemeClr val="bg1"/>
              </a:solidFill>
            </a:rPr>
            <a:t>2017</a:t>
          </a:r>
        </a:p>
      </cdr:txBody>
    </cdr:sp>
  </cdr:relSizeAnchor>
  <cdr:relSizeAnchor xmlns:cdr="http://schemas.openxmlformats.org/drawingml/2006/chartDrawing">
    <cdr:from>
      <cdr:x>0.52466</cdr:x>
      <cdr:y>0.73621</cdr:y>
    </cdr:from>
    <cdr:to>
      <cdr:x>0.56129</cdr:x>
      <cdr:y>0.83493</cdr:y>
    </cdr:to>
    <cdr:sp macro="" textlink="">
      <cdr:nvSpPr>
        <cdr:cNvPr id="14" name="TextBox 13"/>
        <cdr:cNvSpPr txBox="1"/>
      </cdr:nvSpPr>
      <cdr:spPr>
        <a:xfrm xmlns:a="http://schemas.openxmlformats.org/drawingml/2006/main" rot="16200000">
          <a:off x="3236154" y="3609279"/>
          <a:ext cx="468302" cy="23406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2014</a:t>
          </a:r>
        </a:p>
      </cdr:txBody>
    </cdr:sp>
  </cdr:relSizeAnchor>
  <cdr:relSizeAnchor xmlns:cdr="http://schemas.openxmlformats.org/drawingml/2006/chartDrawing">
    <cdr:from>
      <cdr:x>0.57175</cdr:x>
      <cdr:y>0.8293</cdr:y>
    </cdr:from>
    <cdr:to>
      <cdr:x>0.60912</cdr:x>
      <cdr:y>0.9206</cdr:y>
    </cdr:to>
    <cdr:sp macro="" textlink="">
      <cdr:nvSpPr>
        <cdr:cNvPr id="15" name="TextBox 14"/>
        <cdr:cNvSpPr txBox="1"/>
      </cdr:nvSpPr>
      <cdr:spPr>
        <a:xfrm xmlns:a="http://schemas.openxmlformats.org/drawingml/2006/main" rot="16200000">
          <a:off x="3557128" y="4030875"/>
          <a:ext cx="433054" cy="23883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>
              <a:solidFill>
                <a:schemeClr val="bg1"/>
              </a:solidFill>
            </a:rPr>
            <a:t>2017</a:t>
          </a:r>
        </a:p>
      </cdr:txBody>
    </cdr:sp>
  </cdr:relSizeAnchor>
  <cdr:relSizeAnchor xmlns:cdr="http://schemas.openxmlformats.org/drawingml/2006/chartDrawing">
    <cdr:from>
      <cdr:x>0.6065</cdr:x>
      <cdr:y>0.7522</cdr:y>
    </cdr:from>
    <cdr:to>
      <cdr:x>0.64761</cdr:x>
      <cdr:y>0.84987</cdr:y>
    </cdr:to>
    <cdr:sp macro="" textlink="">
      <cdr:nvSpPr>
        <cdr:cNvPr id="16" name="TextBox 15"/>
        <cdr:cNvSpPr txBox="1"/>
      </cdr:nvSpPr>
      <cdr:spPr>
        <a:xfrm xmlns:a="http://schemas.openxmlformats.org/drawingml/2006/main" rot="16200000">
          <a:off x="3776053" y="3668300"/>
          <a:ext cx="463267" cy="26272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2040</a:t>
          </a:r>
        </a:p>
      </cdr:txBody>
    </cdr:sp>
  </cdr:relSizeAnchor>
  <cdr:relSizeAnchor xmlns:cdr="http://schemas.openxmlformats.org/drawingml/2006/chartDrawing">
    <cdr:from>
      <cdr:x>0.73617</cdr:x>
      <cdr:y>0.54249</cdr:y>
    </cdr:from>
    <cdr:to>
      <cdr:x>0.77653</cdr:x>
      <cdr:y>0.64652</cdr:y>
    </cdr:to>
    <cdr:sp macro="" textlink="">
      <cdr:nvSpPr>
        <cdr:cNvPr id="17" name="TextBox 16"/>
        <cdr:cNvSpPr txBox="1"/>
      </cdr:nvSpPr>
      <cdr:spPr>
        <a:xfrm xmlns:a="http://schemas.openxmlformats.org/drawingml/2006/main" rot="16200000">
          <a:off x="4587324" y="2691036"/>
          <a:ext cx="493480" cy="25794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>
              <a:solidFill>
                <a:schemeClr val="bg1"/>
              </a:solidFill>
            </a:rPr>
            <a:t>2017</a:t>
          </a:r>
        </a:p>
      </cdr:txBody>
    </cdr:sp>
  </cdr:relSizeAnchor>
  <cdr:relSizeAnchor xmlns:cdr="http://schemas.openxmlformats.org/drawingml/2006/chartDrawing">
    <cdr:from>
      <cdr:x>0.8169</cdr:x>
      <cdr:y>0.59215</cdr:y>
    </cdr:from>
    <cdr:to>
      <cdr:x>0.85875</cdr:x>
      <cdr:y>0.69619</cdr:y>
    </cdr:to>
    <cdr:sp macro="" textlink="">
      <cdr:nvSpPr>
        <cdr:cNvPr id="18" name="TextBox 17"/>
        <cdr:cNvSpPr txBox="1"/>
      </cdr:nvSpPr>
      <cdr:spPr>
        <a:xfrm xmlns:a="http://schemas.openxmlformats.org/drawingml/2006/main" rot="16200000">
          <a:off x="5108018" y="2921836"/>
          <a:ext cx="493480" cy="26749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>
              <a:solidFill>
                <a:schemeClr val="bg1"/>
              </a:solidFill>
            </a:rPr>
            <a:t>2017</a:t>
          </a:r>
        </a:p>
      </cdr:txBody>
    </cdr:sp>
  </cdr:relSizeAnchor>
  <cdr:relSizeAnchor xmlns:cdr="http://schemas.openxmlformats.org/drawingml/2006/chartDrawing">
    <cdr:from>
      <cdr:x>0.90135</cdr:x>
      <cdr:y>0.76383</cdr:y>
    </cdr:from>
    <cdr:to>
      <cdr:x>0.93871</cdr:x>
      <cdr:y>0.85725</cdr:y>
    </cdr:to>
    <cdr:sp macro="" textlink="">
      <cdr:nvSpPr>
        <cdr:cNvPr id="19" name="TextBox 18"/>
        <cdr:cNvSpPr txBox="1"/>
      </cdr:nvSpPr>
      <cdr:spPr>
        <a:xfrm xmlns:a="http://schemas.openxmlformats.org/drawingml/2006/main" rot="16200000">
          <a:off x="5658604" y="3725347"/>
          <a:ext cx="443127" cy="23883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>
              <a:solidFill>
                <a:schemeClr val="bg1"/>
              </a:solidFill>
            </a:rPr>
            <a:t>2017</a:t>
          </a:r>
        </a:p>
      </cdr:txBody>
    </cdr:sp>
  </cdr:relSizeAnchor>
  <cdr:relSizeAnchor xmlns:cdr="http://schemas.openxmlformats.org/drawingml/2006/chartDrawing">
    <cdr:from>
      <cdr:x>0.76906</cdr:x>
      <cdr:y>0.47983</cdr:y>
    </cdr:from>
    <cdr:to>
      <cdr:x>0.80568</cdr:x>
      <cdr:y>0.57643</cdr:y>
    </cdr:to>
    <cdr:sp macro="" textlink="">
      <cdr:nvSpPr>
        <cdr:cNvPr id="20" name="TextBox 19"/>
        <cdr:cNvSpPr txBox="1"/>
      </cdr:nvSpPr>
      <cdr:spPr>
        <a:xfrm xmlns:a="http://schemas.openxmlformats.org/drawingml/2006/main" rot="16200000">
          <a:off x="4800603" y="2252664"/>
          <a:ext cx="433388" cy="23336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2040</a:t>
          </a:r>
        </a:p>
      </cdr:txBody>
    </cdr:sp>
  </cdr:relSizeAnchor>
  <cdr:relSizeAnchor xmlns:cdr="http://schemas.openxmlformats.org/drawingml/2006/chartDrawing">
    <cdr:from>
      <cdr:x>0.85262</cdr:x>
      <cdr:y>0.55652</cdr:y>
    </cdr:from>
    <cdr:to>
      <cdr:x>0.89286</cdr:x>
      <cdr:y>0.65585</cdr:y>
    </cdr:to>
    <cdr:sp macro="" textlink="">
      <cdr:nvSpPr>
        <cdr:cNvPr id="21" name="TextBox 20"/>
        <cdr:cNvSpPr txBox="1"/>
      </cdr:nvSpPr>
      <cdr:spPr>
        <a:xfrm xmlns:a="http://schemas.openxmlformats.org/drawingml/2006/main" rot="16200000">
          <a:off x="5342307" y="2746812"/>
          <a:ext cx="471193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2040</a:t>
          </a:r>
        </a:p>
      </cdr:txBody>
    </cdr:sp>
  </cdr:relSizeAnchor>
  <cdr:relSizeAnchor xmlns:cdr="http://schemas.openxmlformats.org/drawingml/2006/chartDrawing">
    <cdr:from>
      <cdr:x>0.77645</cdr:x>
      <cdr:y>0.07609</cdr:y>
    </cdr:from>
    <cdr:to>
      <cdr:x>0.91952</cdr:x>
      <cdr:y>0.13448</cdr:y>
    </cdr:to>
    <cdr:sp macro="" textlink="">
      <cdr:nvSpPr>
        <cdr:cNvPr id="22" name="TextBox 21"/>
        <cdr:cNvSpPr txBox="1"/>
      </cdr:nvSpPr>
      <cdr:spPr>
        <a:xfrm xmlns:a="http://schemas.openxmlformats.org/drawingml/2006/main">
          <a:off x="4962507" y="360928"/>
          <a:ext cx="914400" cy="27697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200" b="1">
              <a:solidFill>
                <a:sysClr val="windowText" lastClr="000000"/>
              </a:solidFill>
            </a:rPr>
            <a:t>Linn County</a:t>
          </a:r>
        </a:p>
      </cdr:txBody>
    </cdr:sp>
  </cdr:relSizeAnchor>
  <cdr:relSizeAnchor xmlns:cdr="http://schemas.openxmlformats.org/drawingml/2006/chartDrawing">
    <cdr:from>
      <cdr:x>0.43368</cdr:x>
      <cdr:y>0.51958</cdr:y>
    </cdr:from>
    <cdr:to>
      <cdr:x>0.59538</cdr:x>
      <cdr:y>0.58539</cdr:y>
    </cdr:to>
    <cdr:sp macro="" textlink="">
      <cdr:nvSpPr>
        <cdr:cNvPr id="23" name="TextBox 22"/>
        <cdr:cNvSpPr txBox="1"/>
      </cdr:nvSpPr>
      <cdr:spPr>
        <a:xfrm xmlns:a="http://schemas.openxmlformats.org/drawingml/2006/main">
          <a:off x="2771777" y="2464581"/>
          <a:ext cx="1033463" cy="31220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200" b="1">
              <a:solidFill>
                <a:sysClr val="windowText" lastClr="000000"/>
              </a:solidFill>
            </a:rPr>
            <a:t>Lincoln County</a:t>
          </a:r>
        </a:p>
      </cdr:txBody>
    </cdr:sp>
  </cdr:relSizeAnchor>
  <cdr:relSizeAnchor xmlns:cdr="http://schemas.openxmlformats.org/drawingml/2006/chartDrawing">
    <cdr:from>
      <cdr:x>0.10879</cdr:x>
      <cdr:y>0.31705</cdr:y>
    </cdr:from>
    <cdr:to>
      <cdr:x>0.2608</cdr:x>
      <cdr:y>0.37438</cdr:y>
    </cdr:to>
    <cdr:sp macro="" textlink="">
      <cdr:nvSpPr>
        <cdr:cNvPr id="24" name="TextBox 23"/>
        <cdr:cNvSpPr txBox="1"/>
      </cdr:nvSpPr>
      <cdr:spPr>
        <a:xfrm xmlns:a="http://schemas.openxmlformats.org/drawingml/2006/main">
          <a:off x="695327" y="1503919"/>
          <a:ext cx="971549" cy="27191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200" b="1"/>
            <a:t>Benton</a:t>
          </a:r>
          <a:r>
            <a:rPr lang="en-US" sz="1200" b="1" baseline="0"/>
            <a:t> </a:t>
          </a:r>
          <a:r>
            <a:rPr lang="en-US" sz="1200" b="1" baseline="0">
              <a:ln>
                <a:noFill/>
              </a:ln>
            </a:rPr>
            <a:t>County</a:t>
          </a:r>
          <a:endParaRPr lang="en-US" sz="1200" b="1">
            <a:ln>
              <a:noFill/>
            </a:ln>
          </a:endParaRPr>
        </a:p>
      </cdr:txBody>
    </cdr:sp>
  </cdr:relSizeAnchor>
  <cdr:relSizeAnchor xmlns:cdr="http://schemas.openxmlformats.org/drawingml/2006/chartDrawing">
    <cdr:from>
      <cdr:x>0.93567</cdr:x>
      <cdr:y>0.61714</cdr:y>
    </cdr:from>
    <cdr:to>
      <cdr:x>0.97706</cdr:x>
      <cdr:y>0.72155</cdr:y>
    </cdr:to>
    <cdr:sp macro="" textlink="">
      <cdr:nvSpPr>
        <cdr:cNvPr id="48" name="TextBox 8"/>
        <cdr:cNvSpPr txBox="1"/>
      </cdr:nvSpPr>
      <cdr:spPr>
        <a:xfrm xmlns:a="http://schemas.openxmlformats.org/drawingml/2006/main" rot="16200000">
          <a:off x="5864743" y="3042720"/>
          <a:ext cx="495300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squar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2040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OCWCOG</Company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Lucker</dc:creator>
  <cp:keywords/>
  <dc:description/>
  <cp:lastModifiedBy>Kimberly Cooper</cp:lastModifiedBy>
  <cp:revision>5</cp:revision>
  <dcterms:created xsi:type="dcterms:W3CDTF">2021-01-13T16:44:00Z</dcterms:created>
  <dcterms:modified xsi:type="dcterms:W3CDTF">2021-01-26T19:21:00Z</dcterms:modified>
</cp:coreProperties>
</file>